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Privacy breach response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limit the harm when client information is exposed, and meet the privacy law’s notification rules.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loss of, or unauthorised access to, client information, on paper or electronically.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Report any suspected breach to the privacy officer straight away.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Privacy officer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Leads the response, decides on notification and keeps the register.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privacy officer at once, with what happened and what information is involved.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Contain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Recall the email, change passwords, lock accounts or retrieve the documents.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Assess the harm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Work out what information was exposed, whose, and whether it could cause serious harm such as identity fraud.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Notify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 law requires it, notify affected clients and the privacy regulator, saying what happened and what they should do.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Notification time limits can be short. Start the assessment the same day.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Fix and review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Fix the cause, record the breach in the register and review whether training or systems need to change.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breach register.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assessment and any notifications sent.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Client identification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www.wikidoc.ai/templates/mortgage-brokers/privacy-breach-procedure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breach response procedure</dc:title>
  <dc:creator>Wikidoc</dc:creator>
  <dc:description>A free privacy breach response procedure for mortgage brokers: containing the breach, assessing the harm, notifying clients and the regulator, and review. PDF.</dc:description>
  <cp:lastModifiedBy>Un-named</cp:lastModifiedBy>
  <cp:revision>1</cp:revision>
  <dcterms:created xsi:type="dcterms:W3CDTF">2026-11-03T03:27:15.801Z</dcterms:created>
  <dcterms:modified xsi:type="dcterms:W3CDTF">2026-11-03T03:27:15.801Z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