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Manual handling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protect residents and staff from injury when residents are moved, transferred or repositioned.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transfer, reposition and assisted walk of a resident or client, by every staff member.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Nurse or physiotherapist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Assesses each person’s mobility and writes their handling plan.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Care staff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Follow the handling plan, check equipment before use and report problems.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Provides equipment and training, and reviews handling injuries.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Hoists and slings in the right sizes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Slide sheets, transfer belts and standing aids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handling plan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Read the person’s current plan for how many staff and which equipment each transfer needs.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equipment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the hoist is charged and in service, and the sling is the right type and size and isn’t worn.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use equipment that is overdue for service or damaged. Tag it out and report it.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 the space and the person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Clear the area, lock bed and chair brakes, and explain what is going to happen.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Move them as the plan says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the agreed equipment and number of staff. Keep your back straight, and move your feet rather than twisting.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Never lift by hand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Don’t lift a person’s full weight by hand, including after a fall. Use a hoist.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changes and injuries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nurse if the person’s mobility changes, and report any injury to them or you straight away.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Mobility assessments and handling plans in each care plan.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Equipment service records.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Manual handling training records and injury reports.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Falls prevention and management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www.wikidoc.ai/templates/aged-care/manual-handling-procedure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handling procedure</dc:title>
  <dc:creator>Wikidoc</dc:creator>
  <dc:description>A free aged care manual handling procedure: mobility assessment, the care plan, equipment checks, safe transfers, the no-lift rule and reporting. PDF download.</dc:description>
  <cp:lastModifiedBy>Un-named</cp:lastModifiedBy>
  <cp:revision>1</cp:revision>
  <dcterms:created xsi:type="dcterms:W3CDTF">2026-11-03T03:27:15.625Z</dcterms:created>
  <dcterms:modified xsi:type="dcterms:W3CDTF">2026-11-03T03:27:15.625Z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