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rPr>
          <w:rFonts w:ascii="Arial" w:cs="Arial" w:eastAsia="Arial" w:hAnsi="Arial"/>
          <w:color w:val="6E7176"/>
          <w:sz w:val="16"/>
          <w:szCs w:val="16"/>
        </w:rPr>
        <w:t xml:space="preserve">SOP TEMPLATE</w:t>
      </w:r>
    </w:p>
    <w:p>
      <w:pPr>
        <w:pStyle w:val="Title"/>
      </w:pPr>
      <w:r>
        <w:t xml:space="preserve">Workpaper review procedure</w:t>
      </w:r>
    </w:p>
    <w:p>
      <w:pPr>
        <w:shd w:fill="FFF3D6" w:color="auto" w:val="clear"/>
        <w:spacing w:after="200"/>
      </w:pPr>
      <w:r>
        <w:rPr>
          <w:rFonts w:ascii="Arial" w:cs="Arial" w:eastAsia="Arial" w:hAnsi="Arial"/>
          <w:sz w:val="20"/>
          <w:szCs w:val="20"/>
        </w:rPr>
        <w:t xml:space="preserve">Check this template against your local regulations and your own policies before you use it.</w:t>
      </w:r>
    </w:p>
    <w:tbl>
      <w:tblPr>
        <w:tblW w:type="pct" w:w="5000"/>
        <w:tblBorders>
          <w:top w:val="single" w:color="D6D5D0" w:sz="4"/>
          <w:left w:val="single" w:color="D6D5D0" w:sz="4"/>
          <w:bottom w:val="single" w:color="D6D5D0" w:sz="4"/>
          <w:right w:val="single" w:color="D6D5D0" w:sz="4"/>
          <w:insideH w:val="single" w:color="D6D5D0" w:sz="4"/>
          <w:insideV w:val="single" w:color="D6D5D0" w:sz="4"/>
        </w:tblBorders>
        <w:tblLayout w:type="fixed"/>
      </w:tblPr>
      <w:tblGrid>
        <w:gridCol w:w="1500"/>
        <w:gridCol w:w="1860"/>
        <w:gridCol w:w="1500"/>
        <w:gridCol w:w="1860"/>
        <w:gridCol w:w="1500"/>
        <w:gridCol w:w="1860"/>
      </w:tblGrid>
      <w:tr>
        <w:tc>
          <w:tcPr>
            <w:tcW w:type="dxa" w:w="1500"/>
            <w:shd w:fill="F4F3EF" w:color="auto" w:val="clear"/>
            <w:tcMar>
              <w:top w:type="dxa" w:w="60"/>
              <w:left w:type="dxa" w:w="100"/>
              <w:bottom w:type="dxa" w:w="60"/>
              <w:right w:type="dxa" w:w="100"/>
            </w:tcMar>
          </w:tcPr>
          <w:p>
            <w:r>
              <w:rPr>
                <w:rFonts w:ascii="Arial" w:cs="Arial" w:eastAsia="Arial" w:hAnsi="Arial"/>
              </w:rPr>
              <w:t xml:space="preserve">SOP no.</w:t>
            </w:r>
          </w:p>
        </w:tc>
        <w:tc>
          <w:tcPr>
            <w:tcW w:type="dxa" w:w="1860"/>
            <w:tcMar>
              <w:top w:type="dxa" w:w="60"/>
              <w:left w:type="dxa" w:w="100"/>
              <w:bottom w:type="dxa" w:w="60"/>
              <w:right w:type="dxa" w:w="100"/>
            </w:tcMar>
          </w:tcPr>
          <w:p>
            <w:r>
              <w:rPr>
                <w:rFonts w:ascii="Arial" w:cs="Arial" w:eastAsia="Arial" w:hAnsi="Arial"/>
              </w:rPr>
              <w:t xml:space="preserve"/>
            </w:r>
          </w:p>
        </w:tc>
        <w:tc>
          <w:tcPr>
            <w:tcW w:type="dxa" w:w="1500"/>
            <w:shd w:fill="F4F3EF" w:color="auto" w:val="clear"/>
            <w:tcMar>
              <w:top w:type="dxa" w:w="60"/>
              <w:left w:type="dxa" w:w="100"/>
              <w:bottom w:type="dxa" w:w="60"/>
              <w:right w:type="dxa" w:w="100"/>
            </w:tcMar>
          </w:tcPr>
          <w:p>
            <w:r>
              <w:rPr>
                <w:rFonts w:ascii="Arial" w:cs="Arial" w:eastAsia="Arial" w:hAnsi="Arial"/>
              </w:rPr>
              <w:t xml:space="preserve">Version</w:t>
            </w:r>
          </w:p>
        </w:tc>
        <w:tc>
          <w:tcPr>
            <w:tcW w:type="dxa" w:w="1860"/>
            <w:tcMar>
              <w:top w:type="dxa" w:w="60"/>
              <w:left w:type="dxa" w:w="100"/>
              <w:bottom w:type="dxa" w:w="60"/>
              <w:right w:type="dxa" w:w="100"/>
            </w:tcMar>
          </w:tcPr>
          <w:p>
            <w:r>
              <w:rPr>
                <w:rFonts w:ascii="Arial" w:cs="Arial" w:eastAsia="Arial" w:hAnsi="Arial"/>
              </w:rPr>
              <w:t xml:space="preserve"/>
            </w:r>
          </w:p>
        </w:tc>
        <w:tc>
          <w:tcPr>
            <w:tcW w:type="dxa" w:w="1500"/>
            <w:shd w:fill="F4F3EF" w:color="auto" w:val="clear"/>
            <w:tcMar>
              <w:top w:type="dxa" w:w="60"/>
              <w:left w:type="dxa" w:w="100"/>
              <w:bottom w:type="dxa" w:w="60"/>
              <w:right w:type="dxa" w:w="100"/>
            </w:tcMar>
          </w:tcPr>
          <w:p>
            <w:r>
              <w:rPr>
                <w:rFonts w:ascii="Arial" w:cs="Arial" w:eastAsia="Arial" w:hAnsi="Arial"/>
              </w:rPr>
              <w:t xml:space="preserve">Effective date</w:t>
            </w:r>
          </w:p>
        </w:tc>
        <w:tc>
          <w:tcPr>
            <w:tcW w:type="dxa" w:w="1860"/>
            <w:tcMar>
              <w:top w:type="dxa" w:w="60"/>
              <w:left w:type="dxa" w:w="100"/>
              <w:bottom w:type="dxa" w:w="60"/>
              <w:right w:type="dxa" w:w="100"/>
            </w:tcMar>
          </w:tcPr>
          <w:p>
            <w:r>
              <w:rPr>
                <w:rFonts w:ascii="Arial" w:cs="Arial" w:eastAsia="Arial" w:hAnsi="Arial"/>
              </w:rPr>
              <w:t xml:space="preserve"/>
            </w:r>
          </w:p>
        </w:tc>
      </w:tr>
      <w:tr>
        <w:tc>
          <w:tcPr>
            <w:tcW w:type="dxa" w:w="1500"/>
            <w:shd w:fill="F4F3EF" w:color="auto" w:val="clear"/>
            <w:tcMar>
              <w:top w:type="dxa" w:w="60"/>
              <w:left w:type="dxa" w:w="100"/>
              <w:bottom w:type="dxa" w:w="60"/>
              <w:right w:type="dxa" w:w="100"/>
            </w:tcMar>
          </w:tcPr>
          <w:p>
            <w:r>
              <w:rPr>
                <w:rFonts w:ascii="Arial" w:cs="Arial" w:eastAsia="Arial" w:hAnsi="Arial"/>
              </w:rPr>
              <w:t xml:space="preserve">Owner</w:t>
            </w:r>
          </w:p>
        </w:tc>
        <w:tc>
          <w:tcPr>
            <w:tcW w:type="dxa" w:w="1860"/>
            <w:tcMar>
              <w:top w:type="dxa" w:w="60"/>
              <w:left w:type="dxa" w:w="100"/>
              <w:bottom w:type="dxa" w:w="60"/>
              <w:right w:type="dxa" w:w="100"/>
            </w:tcMar>
          </w:tcPr>
          <w:p>
            <w:r>
              <w:rPr>
                <w:rFonts w:ascii="Arial" w:cs="Arial" w:eastAsia="Arial" w:hAnsi="Arial"/>
              </w:rPr>
              <w:t xml:space="preserve"/>
            </w:r>
          </w:p>
        </w:tc>
        <w:tc>
          <w:tcPr>
            <w:tcW w:type="dxa" w:w="1500"/>
            <w:shd w:fill="F4F3EF" w:color="auto" w:val="clear"/>
            <w:tcMar>
              <w:top w:type="dxa" w:w="60"/>
              <w:left w:type="dxa" w:w="100"/>
              <w:bottom w:type="dxa" w:w="60"/>
              <w:right w:type="dxa" w:w="100"/>
            </w:tcMar>
          </w:tcPr>
          <w:p>
            <w:r>
              <w:rPr>
                <w:rFonts w:ascii="Arial" w:cs="Arial" w:eastAsia="Arial" w:hAnsi="Arial"/>
              </w:rPr>
              <w:t xml:space="preserve">Approver</w:t>
            </w:r>
          </w:p>
        </w:tc>
        <w:tc>
          <w:tcPr>
            <w:tcW w:type="dxa" w:w="1860"/>
            <w:tcMar>
              <w:top w:type="dxa" w:w="60"/>
              <w:left w:type="dxa" w:w="100"/>
              <w:bottom w:type="dxa" w:w="60"/>
              <w:right w:type="dxa" w:w="100"/>
            </w:tcMar>
          </w:tcPr>
          <w:p>
            <w:r>
              <w:rPr>
                <w:rFonts w:ascii="Arial" w:cs="Arial" w:eastAsia="Arial" w:hAnsi="Arial"/>
              </w:rPr>
              <w:t xml:space="preserve"/>
            </w:r>
          </w:p>
        </w:tc>
        <w:tc>
          <w:tcPr>
            <w:tcW w:type="dxa" w:w="1500"/>
            <w:shd w:fill="F4F3EF" w:color="auto" w:val="clear"/>
            <w:tcMar>
              <w:top w:type="dxa" w:w="60"/>
              <w:left w:type="dxa" w:w="100"/>
              <w:bottom w:type="dxa" w:w="60"/>
              <w:right w:type="dxa" w:w="100"/>
            </w:tcMar>
          </w:tcPr>
          <w:p>
            <w:r>
              <w:rPr>
                <w:rFonts w:ascii="Arial" w:cs="Arial" w:eastAsia="Arial" w:hAnsi="Arial"/>
              </w:rPr>
              <w:t xml:space="preserve">Review date</w:t>
            </w:r>
          </w:p>
        </w:tc>
        <w:tc>
          <w:tcPr>
            <w:tcW w:type="dxa" w:w="1860"/>
            <w:tcMar>
              <w:top w:type="dxa" w:w="60"/>
              <w:left w:type="dxa" w:w="100"/>
              <w:bottom w:type="dxa" w:w="60"/>
              <w:right w:type="dxa" w:w="100"/>
            </w:tcMar>
          </w:tcPr>
          <w:p>
            <w:r>
              <w:rPr>
                <w:rFonts w:ascii="Arial" w:cs="Arial" w:eastAsia="Arial" w:hAnsi="Arial"/>
              </w:rPr>
              <w:t xml:space="preserve"/>
            </w:r>
          </w:p>
        </w:tc>
      </w:tr>
    </w:tbl>
    <w:p>
      <w:pPr>
        <w:pStyle w:val="Heading1"/>
        <w:keepNext/>
        <w:keepLines/>
      </w:pPr>
      <w:r>
        <w:t xml:space="preserve">Purpose</w:t>
      </w:r>
    </w:p>
    <w:p>
      <w:pPr>
        <w:spacing w:after="120"/>
      </w:pPr>
      <w:r>
        <w:rPr>
          <w:rFonts w:ascii="Arial" w:cs="Arial" w:eastAsia="Arial" w:hAnsi="Arial"/>
          <w:sz w:val="20"/>
          <w:szCs w:val="20"/>
        </w:rPr>
        <w:t xml:space="preserve">To make sure every job is reviewed by someone other than its preparer before it’s sent to the client or lodged, that every review point is cleared and recorded, and that the work meets the firm’s quality standard.</w:t>
      </w:r>
    </w:p>
    <w:p>
      <w:pPr>
        <w:pStyle w:val="Heading1"/>
        <w:keepNext/>
        <w:keepLines/>
      </w:pPr>
      <w:r>
        <w:t xml:space="preserve">Scope</w:t>
      </w:r>
    </w:p>
    <w:p>
      <w:pPr>
        <w:spacing w:after="120"/>
      </w:pPr>
      <w:r>
        <w:rPr>
          <w:rFonts w:ascii="Arial" w:cs="Arial" w:eastAsia="Arial" w:hAnsi="Arial"/>
          <w:sz w:val="20"/>
          <w:szCs w:val="20"/>
        </w:rPr>
        <w:t xml:space="preserve">Annual financial statements, tax returns, management reports and other compliance work prepared by the firm. It applies to every preparer, reviewer and partner.</w:t>
      </w:r>
    </w:p>
    <w:p>
      <w:pPr>
        <w:pStyle w:val="Heading1"/>
        <w:keepNext/>
        <w:keepLines/>
      </w:pPr>
      <w:r>
        <w:t xml:space="preserve">Responsibilities</w:t>
      </w:r>
    </w:p>
    <w:tbl>
      <w:tblPr>
        <w:tblW w:type="pct" w:w="5000"/>
        <w:tblBorders>
          <w:top w:val="single" w:color="D6D5D0" w:sz="4"/>
          <w:left w:val="single" w:color="D6D5D0" w:sz="4"/>
          <w:bottom w:val="single" w:color="D6D5D0" w:sz="4"/>
          <w:right w:val="single" w:color="D6D5D0" w:sz="4"/>
          <w:insideH w:val="single" w:color="D6D5D0" w:sz="4"/>
          <w:insideV w:val="single" w:color="D6D5D0" w:sz="4"/>
        </w:tblBorders>
        <w:tblLayout w:type="fixed"/>
      </w:tblPr>
      <w:tblGrid>
        <w:gridCol w:w="3360"/>
        <w:gridCol w:w="6720"/>
      </w:tblGrid>
      <w:tr>
        <w:trPr>
          <w:tblHeader/>
        </w:trPr>
        <w:tc>
          <w:tcPr>
            <w:tcW w:type="dxa" w:w="3360"/>
            <w:shd w:fill="F4F3EF" w:color="auto" w:val="clear"/>
            <w:tcMar>
              <w:top w:type="dxa" w:w="60"/>
              <w:left w:type="dxa" w:w="100"/>
              <w:bottom w:type="dxa" w:w="60"/>
              <w:right w:type="dxa" w:w="100"/>
            </w:tcMar>
          </w:tcPr>
          <w:p>
            <w:r>
              <w:rPr>
                <w:rFonts w:ascii="Arial" w:cs="Arial" w:eastAsia="Arial" w:hAnsi="Arial"/>
                <w:b/>
                <w:bCs/>
                <w:color w:val="6E7176"/>
                <w:sz w:val="18"/>
                <w:szCs w:val="18"/>
              </w:rPr>
              <w:t xml:space="preserve">Role</w:t>
            </w:r>
          </w:p>
        </w:tc>
        <w:tc>
          <w:tcPr>
            <w:tcW w:type="dxa" w:w="6720"/>
            <w:shd w:fill="F4F3EF" w:color="auto" w:val="clear"/>
            <w:tcMar>
              <w:top w:type="dxa" w:w="60"/>
              <w:left w:type="dxa" w:w="100"/>
              <w:bottom w:type="dxa" w:w="60"/>
              <w:right w:type="dxa" w:w="100"/>
            </w:tcMar>
          </w:tcPr>
          <w:p>
            <w:r>
              <w:rPr>
                <w:rFonts w:ascii="Arial" w:cs="Arial" w:eastAsia="Arial" w:hAnsi="Arial"/>
                <w:b/>
                <w:bCs/>
                <w:color w:val="6E7176"/>
                <w:sz w:val="18"/>
                <w:szCs w:val="18"/>
              </w:rPr>
              <w:t xml:space="preserve">Responsibility</w:t>
            </w:r>
          </w:p>
        </w:tc>
      </w:tr>
      <w:tr>
        <w:trPr>
          <w:cantSplit/>
        </w:trPr>
        <w:tc>
          <w:tcPr>
            <w:tcW w:type="dxa" w:w="3360"/>
            <w:tcMar>
              <w:top w:type="dxa" w:w="60"/>
              <w:left w:type="dxa" w:w="100"/>
              <w:bottom w:type="dxa" w:w="60"/>
              <w:right w:type="dxa" w:w="100"/>
            </w:tcMar>
          </w:tcPr>
          <w:p>
            <w:r>
              <w:rPr>
                <w:rFonts w:ascii="Arial" w:cs="Arial" w:eastAsia="Arial" w:hAnsi="Arial"/>
                <w:b/>
                <w:bCs/>
                <w:sz w:val="20"/>
                <w:szCs w:val="20"/>
              </w:rPr>
              <w:t xml:space="preserve">Preparer</w:t>
            </w:r>
          </w:p>
        </w:tc>
        <w:tc>
          <w:tcPr>
            <w:tcW w:type="dxa" w:w="6720"/>
            <w:tcMar>
              <w:top w:type="dxa" w:w="60"/>
              <w:left w:type="dxa" w:w="100"/>
              <w:bottom w:type="dxa" w:w="60"/>
              <w:right w:type="dxa" w:w="100"/>
            </w:tcMar>
          </w:tcPr>
          <w:p>
            <w:r>
              <w:rPr>
                <w:rFonts w:ascii="Arial" w:cs="Arial" w:eastAsia="Arial" w:hAnsi="Arial"/>
              </w:rPr>
              <w:t xml:space="preserve">Prepares the job, completes the self-review checklist, and clears every review note.</w:t>
            </w:r>
          </w:p>
        </w:tc>
      </w:tr>
      <w:tr>
        <w:trPr>
          <w:cantSplit/>
        </w:trPr>
        <w:tc>
          <w:tcPr>
            <w:tcW w:type="dxa" w:w="3360"/>
            <w:tcMar>
              <w:top w:type="dxa" w:w="60"/>
              <w:left w:type="dxa" w:w="100"/>
              <w:bottom w:type="dxa" w:w="60"/>
              <w:right w:type="dxa" w:w="100"/>
            </w:tcMar>
          </w:tcPr>
          <w:p>
            <w:r>
              <w:rPr>
                <w:rFonts w:ascii="Arial" w:cs="Arial" w:eastAsia="Arial" w:hAnsi="Arial"/>
                <w:b/>
                <w:bCs/>
                <w:sz w:val="20"/>
                <w:szCs w:val="20"/>
              </w:rPr>
              <w:t xml:space="preserve">Reviewer (senior or manager)</w:t>
            </w:r>
          </w:p>
        </w:tc>
        <w:tc>
          <w:tcPr>
            <w:tcW w:type="dxa" w:w="6720"/>
            <w:tcMar>
              <w:top w:type="dxa" w:w="60"/>
              <w:left w:type="dxa" w:w="100"/>
              <w:bottom w:type="dxa" w:w="60"/>
              <w:right w:type="dxa" w:w="100"/>
            </w:tcMar>
          </w:tcPr>
          <w:p>
            <w:r>
              <w:rPr>
                <w:rFonts w:ascii="Arial" w:cs="Arial" w:eastAsia="Arial" w:hAnsi="Arial"/>
              </w:rPr>
              <w:t xml:space="preserve">Reviews the workpapers and outputs, raises review notes, and signs off when they’re cleared.</w:t>
            </w:r>
          </w:p>
        </w:tc>
      </w:tr>
      <w:tr>
        <w:trPr>
          <w:cantSplit/>
        </w:trPr>
        <w:tc>
          <w:tcPr>
            <w:tcW w:type="dxa" w:w="3360"/>
            <w:tcMar>
              <w:top w:type="dxa" w:w="60"/>
              <w:left w:type="dxa" w:w="100"/>
              <w:bottom w:type="dxa" w:w="60"/>
              <w:right w:type="dxa" w:w="100"/>
            </w:tcMar>
          </w:tcPr>
          <w:p>
            <w:r>
              <w:rPr>
                <w:rFonts w:ascii="Arial" w:cs="Arial" w:eastAsia="Arial" w:hAnsi="Arial"/>
                <w:b/>
                <w:bCs/>
                <w:sz w:val="20"/>
                <w:szCs w:val="20"/>
              </w:rPr>
              <w:t xml:space="preserve">Partner</w:t>
            </w:r>
          </w:p>
        </w:tc>
        <w:tc>
          <w:tcPr>
            <w:tcW w:type="dxa" w:w="6720"/>
            <w:tcMar>
              <w:top w:type="dxa" w:w="60"/>
              <w:left w:type="dxa" w:w="100"/>
              <w:bottom w:type="dxa" w:w="60"/>
              <w:right w:type="dxa" w:w="100"/>
            </w:tcMar>
          </w:tcPr>
          <w:p>
            <w:r>
              <w:rPr>
                <w:rFonts w:ascii="Arial" w:cs="Arial" w:eastAsia="Arial" w:hAnsi="Arial"/>
              </w:rPr>
              <w:t xml:space="preserve">Gives final sign-off, and a second review for higher-risk jobs, before the work goes to the client.</w:t>
            </w:r>
          </w:p>
        </w:tc>
      </w:tr>
    </w:tbl>
    <w:p>
      <w:pPr>
        <w:pStyle w:val="Heading1"/>
        <w:keepNext/>
        <w:keepLines/>
      </w:pPr>
      <w:r>
        <w:t xml:space="preserve">Definitions</w:t>
      </w:r>
    </w:p>
    <w:p>
      <w:pPr>
        <w:spacing w:after="80"/>
      </w:pPr>
      <w:r>
        <w:rPr>
          <w:rFonts w:ascii="Arial" w:cs="Arial" w:eastAsia="Arial" w:hAnsi="Arial"/>
          <w:b/>
          <w:bCs/>
          <w:sz w:val="20"/>
          <w:szCs w:val="20"/>
        </w:rPr>
        <w:t xml:space="preserve">Workpapers: </w:t>
      </w:r>
      <w:r>
        <w:rPr>
          <w:rFonts w:ascii="Arial" w:cs="Arial" w:eastAsia="Arial" w:hAnsi="Arial"/>
          <w:sz w:val="20"/>
          <w:szCs w:val="20"/>
        </w:rPr>
        <w:t xml:space="preserve">The schedules, reconciliations, source documents and notes that support the figures in the financial statements or return.</w:t>
      </w:r>
    </w:p>
    <w:p>
      <w:pPr>
        <w:spacing w:after="80"/>
      </w:pPr>
      <w:r>
        <w:rPr>
          <w:rFonts w:ascii="Arial" w:cs="Arial" w:eastAsia="Arial" w:hAnsi="Arial"/>
          <w:b/>
          <w:bCs/>
          <w:sz w:val="20"/>
          <w:szCs w:val="20"/>
        </w:rPr>
        <w:t xml:space="preserve">Review note: </w:t>
      </w:r>
      <w:r>
        <w:rPr>
          <w:rFonts w:ascii="Arial" w:cs="Arial" w:eastAsia="Arial" w:hAnsi="Arial"/>
          <w:sz w:val="20"/>
          <w:szCs w:val="20"/>
        </w:rPr>
        <w:t xml:space="preserve">A question or correction the reviewer raises on the workpapers, which the preparer must answer or fix.</w:t>
      </w:r>
    </w:p>
    <w:p>
      <w:pPr>
        <w:spacing w:after="80"/>
      </w:pPr>
      <w:r>
        <w:rPr>
          <w:rFonts w:ascii="Arial" w:cs="Arial" w:eastAsia="Arial" w:hAnsi="Arial"/>
          <w:b/>
          <w:bCs/>
          <w:sz w:val="20"/>
          <w:szCs w:val="20"/>
        </w:rPr>
        <w:t xml:space="preserve">Self-review checklist: </w:t>
      </w:r>
      <w:r>
        <w:rPr>
          <w:rFonts w:ascii="Arial" w:cs="Arial" w:eastAsia="Arial" w:hAnsi="Arial"/>
          <w:sz w:val="20"/>
          <w:szCs w:val="20"/>
        </w:rPr>
        <w:t xml:space="preserve">The preparer’s own list of checks to complete before passing a job to the reviewer.</w:t>
      </w:r>
    </w:p>
    <w:p>
      <w:pPr>
        <w:pStyle w:val="Heading1"/>
        <w:keepNext/>
        <w:keepLines/>
      </w:pPr>
      <w:r>
        <w:t xml:space="preserve">What you need</w:t>
      </w:r>
    </w:p>
    <w:p>
      <w:pPr>
        <w:pStyle w:val="ListParagraph"/>
        <w:numPr>
          <w:ilvl w:val="0"/>
          <w:numId w:val="2"/>
        </w:numPr>
        <w:spacing w:after="60"/>
      </w:pPr>
      <w:r>
        <w:rPr>
          <w:rFonts w:ascii="Arial" w:cs="Arial" w:eastAsia="Arial" w:hAnsi="Arial"/>
          <w:sz w:val="20"/>
          <w:szCs w:val="20"/>
        </w:rPr>
        <w:t xml:space="preserve">The job’s workpapers, in the firm’s template</w:t>
      </w:r>
    </w:p>
    <w:p>
      <w:pPr>
        <w:pStyle w:val="ListParagraph"/>
        <w:numPr>
          <w:ilvl w:val="0"/>
          <w:numId w:val="2"/>
        </w:numPr>
        <w:spacing w:after="60"/>
      </w:pPr>
      <w:r>
        <w:rPr>
          <w:rFonts w:ascii="Arial" w:cs="Arial" w:eastAsia="Arial" w:hAnsi="Arial"/>
          <w:sz w:val="20"/>
          <w:szCs w:val="20"/>
        </w:rPr>
        <w:t xml:space="preserve">The preparer’s self-review checklist</w:t>
      </w:r>
    </w:p>
    <w:p>
      <w:pPr>
        <w:pStyle w:val="ListParagraph"/>
        <w:numPr>
          <w:ilvl w:val="0"/>
          <w:numId w:val="2"/>
        </w:numPr>
        <w:spacing w:after="60"/>
      </w:pPr>
      <w:r>
        <w:rPr>
          <w:rFonts w:ascii="Arial" w:cs="Arial" w:eastAsia="Arial" w:hAnsi="Arial"/>
          <w:sz w:val="20"/>
          <w:szCs w:val="20"/>
        </w:rPr>
        <w:t xml:space="preserve">The review notes register or tool</w:t>
      </w:r>
    </w:p>
    <w:p>
      <w:pPr>
        <w:pStyle w:val="ListParagraph"/>
        <w:numPr>
          <w:ilvl w:val="0"/>
          <w:numId w:val="2"/>
        </w:numPr>
        <w:spacing w:after="60"/>
      </w:pPr>
      <w:r>
        <w:rPr>
          <w:rFonts w:ascii="Arial" w:cs="Arial" w:eastAsia="Arial" w:hAnsi="Arial"/>
          <w:sz w:val="20"/>
          <w:szCs w:val="20"/>
        </w:rPr>
        <w:t xml:space="preserve">Last year’s file and the client’s permanent file</w:t>
      </w:r>
    </w:p>
    <w:p>
      <w:pPr>
        <w:pStyle w:val="Heading1"/>
        <w:keepNext/>
        <w:keepLines/>
      </w:pPr>
      <w:r>
        <w:t xml:space="preserve">Procedure</w:t>
      </w:r>
    </w:p>
    <w:p>
      <w:pPr>
        <w:pStyle w:val="ListParagraph"/>
        <w:keepNext/>
        <w:numPr>
          <w:ilvl w:val="0"/>
          <w:numId w:val="3"/>
        </w:numPr>
        <w:spacing w:after="60" w:before="120"/>
      </w:pPr>
      <w:r>
        <w:rPr>
          <w:rFonts w:ascii="Arial" w:cs="Arial" w:eastAsia="Arial" w:hAnsi="Arial"/>
          <w:b/>
          <w:bCs/>
          <w:sz w:val="20"/>
          <w:szCs w:val="20"/>
        </w:rPr>
        <w:t xml:space="preserve">Complete the preparer’s self-review</w:t>
      </w:r>
    </w:p>
    <w:p>
      <w:pPr>
        <w:spacing w:after="80"/>
        <w:ind w:left="360"/>
      </w:pPr>
      <w:r>
        <w:rPr>
          <w:rFonts w:ascii="Arial" w:cs="Arial" w:eastAsia="Arial" w:hAnsi="Arial"/>
          <w:sz w:val="20"/>
          <w:szCs w:val="20"/>
        </w:rPr>
        <w:t xml:space="preserve">Before passing the job on, the preparer ticks off the self-review checklist, ties the trial balance to the statements and return, and explains any big changes from last year.</w:t>
      </w:r>
    </w:p>
    <w:p>
      <w:pPr>
        <w:pStyle w:val="ListParagraph"/>
        <w:keepNext/>
        <w:numPr>
          <w:ilvl w:val="0"/>
          <w:numId w:val="3"/>
        </w:numPr>
        <w:spacing w:after="60" w:before="120"/>
      </w:pPr>
      <w:r>
        <w:rPr>
          <w:rFonts w:ascii="Arial" w:cs="Arial" w:eastAsia="Arial" w:hAnsi="Arial"/>
          <w:b/>
          <w:bCs/>
          <w:sz w:val="20"/>
          <w:szCs w:val="20"/>
        </w:rPr>
        <w:t xml:space="preserve">Assign the reviewer</w:t>
      </w:r>
    </w:p>
    <w:p>
      <w:pPr>
        <w:spacing w:after="80"/>
        <w:ind w:left="360"/>
      </w:pPr>
      <w:r>
        <w:rPr>
          <w:rFonts w:ascii="Arial" w:cs="Arial" w:eastAsia="Arial" w:hAnsi="Arial"/>
          <w:sz w:val="20"/>
          <w:szCs w:val="20"/>
        </w:rPr>
        <w:t xml:space="preserve">The job goes to a reviewer who didn’t prepare it, with the time budget and any deadline.</w:t>
      </w:r>
    </w:p>
    <w:p>
      <w:pPr>
        <w:pStyle w:val="ListParagraph"/>
        <w:keepNext/>
        <w:numPr>
          <w:ilvl w:val="0"/>
          <w:numId w:val="3"/>
        </w:numPr>
        <w:spacing w:after="60" w:before="120"/>
      </w:pPr>
      <w:r>
        <w:rPr>
          <w:rFonts w:ascii="Arial" w:cs="Arial" w:eastAsia="Arial" w:hAnsi="Arial"/>
          <w:b/>
          <w:bCs/>
          <w:sz w:val="20"/>
          <w:szCs w:val="20"/>
        </w:rPr>
        <w:t xml:space="preserve">Review the workpapers</w:t>
      </w:r>
    </w:p>
    <w:p>
      <w:pPr>
        <w:spacing w:after="80"/>
        <w:ind w:left="360"/>
      </w:pPr>
      <w:r>
        <w:rPr>
          <w:rFonts w:ascii="Arial" w:cs="Arial" w:eastAsia="Arial" w:hAnsi="Arial"/>
          <w:sz w:val="20"/>
          <w:szCs w:val="20"/>
        </w:rPr>
        <w:t xml:space="preserve">Check every balance is supported by a reconciliation or source document, journals are explained, and nothing is carried forward unchecked.</w:t>
      </w:r>
    </w:p>
    <w:p>
      <w:pPr>
        <w:pStyle w:val="ListParagraph"/>
        <w:numPr>
          <w:ilvl w:val="1"/>
          <w:numId w:val="2"/>
        </w:numPr>
        <w:spacing w:after="60"/>
      </w:pPr>
      <w:r>
        <w:rPr>
          <w:rFonts w:ascii="Arial" w:cs="Arial" w:eastAsia="Arial" w:hAnsi="Arial"/>
          <w:sz w:val="20"/>
          <w:szCs w:val="20"/>
        </w:rPr>
        <w:t xml:space="preserve">Bank and loan balances agree to statements at the balance date</w:t>
      </w:r>
    </w:p>
    <w:p>
      <w:pPr>
        <w:pStyle w:val="ListParagraph"/>
        <w:numPr>
          <w:ilvl w:val="1"/>
          <w:numId w:val="2"/>
        </w:numPr>
        <w:spacing w:after="60"/>
      </w:pPr>
      <w:r>
        <w:rPr>
          <w:rFonts w:ascii="Arial" w:cs="Arial" w:eastAsia="Arial" w:hAnsi="Arial"/>
          <w:sz w:val="20"/>
          <w:szCs w:val="20"/>
        </w:rPr>
        <w:t xml:space="preserve">Receivables, payables and accruals are supported and cut off correctly</w:t>
      </w:r>
    </w:p>
    <w:p>
      <w:pPr>
        <w:pStyle w:val="ListParagraph"/>
        <w:numPr>
          <w:ilvl w:val="1"/>
          <w:numId w:val="2"/>
        </w:numPr>
        <w:spacing w:after="60"/>
      </w:pPr>
      <w:r>
        <w:rPr>
          <w:rFonts w:ascii="Arial" w:cs="Arial" w:eastAsia="Arial" w:hAnsi="Arial"/>
          <w:sz w:val="20"/>
          <w:szCs w:val="20"/>
        </w:rPr>
        <w:t xml:space="preserve">Fixed asset additions, disposals and depreciation are supported</w:t>
      </w:r>
    </w:p>
    <w:p>
      <w:pPr>
        <w:pStyle w:val="ListParagraph"/>
        <w:numPr>
          <w:ilvl w:val="1"/>
          <w:numId w:val="2"/>
        </w:numPr>
        <w:spacing w:after="60"/>
      </w:pPr>
      <w:r>
        <w:rPr>
          <w:rFonts w:ascii="Arial" w:cs="Arial" w:eastAsia="Arial" w:hAnsi="Arial"/>
          <w:sz w:val="20"/>
          <w:szCs w:val="20"/>
        </w:rPr>
        <w:t xml:space="preserve">Related-party balances and owner drawings are explained</w:t>
      </w:r>
    </w:p>
    <w:p>
      <w:pPr>
        <w:pStyle w:val="ListParagraph"/>
        <w:numPr>
          <w:ilvl w:val="1"/>
          <w:numId w:val="2"/>
        </w:numPr>
        <w:spacing w:after="60"/>
      </w:pPr>
      <w:r>
        <w:rPr>
          <w:rFonts w:ascii="Arial" w:cs="Arial" w:eastAsia="Arial" w:hAnsi="Arial"/>
          <w:sz w:val="20"/>
          <w:szCs w:val="20"/>
        </w:rPr>
        <w:t xml:space="preserve">Last year’s adjusting entries were carried through</w:t>
      </w:r>
    </w:p>
    <w:p>
      <w:pPr>
        <w:pStyle w:val="ListParagraph"/>
        <w:keepNext/>
        <w:numPr>
          <w:ilvl w:val="0"/>
          <w:numId w:val="3"/>
        </w:numPr>
        <w:spacing w:after="60" w:before="120"/>
      </w:pPr>
      <w:r>
        <w:rPr>
          <w:rFonts w:ascii="Arial" w:cs="Arial" w:eastAsia="Arial" w:hAnsi="Arial"/>
          <w:b/>
          <w:bCs/>
          <w:sz w:val="20"/>
          <w:szCs w:val="20"/>
        </w:rPr>
        <w:t xml:space="preserve">Review the outputs</w:t>
      </w:r>
    </w:p>
    <w:p>
      <w:pPr>
        <w:spacing w:after="80"/>
        <w:ind w:left="360"/>
      </w:pPr>
      <w:r>
        <w:rPr>
          <w:rFonts w:ascii="Arial" w:cs="Arial" w:eastAsia="Arial" w:hAnsi="Arial"/>
          <w:sz w:val="20"/>
          <w:szCs w:val="20"/>
        </w:rPr>
        <w:t xml:space="preserve">Check the financial statements and return for accuracy, completeness and presentation, and that tax positions are supported and consistent with last year.</w:t>
      </w:r>
    </w:p>
    <w:p>
      <w:pPr>
        <w:pStyle w:val="ListParagraph"/>
        <w:numPr>
          <w:ilvl w:val="1"/>
          <w:numId w:val="2"/>
        </w:numPr>
        <w:spacing w:after="60"/>
      </w:pPr>
      <w:r>
        <w:rPr>
          <w:rFonts w:ascii="Arial" w:cs="Arial" w:eastAsia="Arial" w:hAnsi="Arial"/>
          <w:sz w:val="20"/>
          <w:szCs w:val="20"/>
        </w:rPr>
        <w:t xml:space="preserve">The statements and return agree to the trial balance</w:t>
      </w:r>
    </w:p>
    <w:p>
      <w:pPr>
        <w:pStyle w:val="ListParagraph"/>
        <w:numPr>
          <w:ilvl w:val="1"/>
          <w:numId w:val="2"/>
        </w:numPr>
        <w:spacing w:after="60"/>
      </w:pPr>
      <w:r>
        <w:rPr>
          <w:rFonts w:ascii="Arial" w:cs="Arial" w:eastAsia="Arial" w:hAnsi="Arial"/>
          <w:sz w:val="20"/>
          <w:szCs w:val="20"/>
        </w:rPr>
        <w:t xml:space="preserve">Comparatives and disclosures are complete and correct</w:t>
      </w:r>
    </w:p>
    <w:p>
      <w:pPr>
        <w:pStyle w:val="ListParagraph"/>
        <w:numPr>
          <w:ilvl w:val="1"/>
          <w:numId w:val="2"/>
        </w:numPr>
        <w:spacing w:after="60"/>
      </w:pPr>
      <w:r>
        <w:rPr>
          <w:rFonts w:ascii="Arial" w:cs="Arial" w:eastAsia="Arial" w:hAnsi="Arial"/>
          <w:sz w:val="20"/>
          <w:szCs w:val="20"/>
        </w:rPr>
        <w:t xml:space="preserve">Tax adjustments, credits and elections are supported</w:t>
      </w:r>
    </w:p>
    <w:p>
      <w:pPr>
        <w:pStyle w:val="ListParagraph"/>
        <w:numPr>
          <w:ilvl w:val="1"/>
          <w:numId w:val="2"/>
        </w:numPr>
        <w:spacing w:after="60"/>
      </w:pPr>
      <w:r>
        <w:rPr>
          <w:rFonts w:ascii="Arial" w:cs="Arial" w:eastAsia="Arial" w:hAnsi="Arial"/>
          <w:sz w:val="20"/>
          <w:szCs w:val="20"/>
        </w:rPr>
        <w:t xml:space="preserve">Margins and ratios make sense against last year</w:t>
      </w:r>
    </w:p>
    <w:p>
      <w:pPr>
        <w:pStyle w:val="ListParagraph"/>
        <w:keepNext/>
        <w:numPr>
          <w:ilvl w:val="0"/>
          <w:numId w:val="3"/>
        </w:numPr>
        <w:spacing w:after="60" w:before="120"/>
      </w:pPr>
      <w:r>
        <w:rPr>
          <w:rFonts w:ascii="Arial" w:cs="Arial" w:eastAsia="Arial" w:hAnsi="Arial"/>
          <w:b/>
          <w:bCs/>
          <w:sz w:val="20"/>
          <w:szCs w:val="20"/>
        </w:rPr>
        <w:t xml:space="preserve">Raise review notes</w:t>
      </w:r>
    </w:p>
    <w:p>
      <w:pPr>
        <w:spacing w:after="80"/>
        <w:ind w:left="360"/>
      </w:pPr>
      <w:r>
        <w:rPr>
          <w:rFonts w:ascii="Arial" w:cs="Arial" w:eastAsia="Arial" w:hAnsi="Arial"/>
          <w:sz w:val="20"/>
          <w:szCs w:val="20"/>
        </w:rPr>
        <w:t xml:space="preserve">Raise each point as a clear note, with where it is and what’s needed. Mark which points must be cleared before sign-off.</w:t>
      </w:r>
    </w:p>
    <w:p>
      <w:pPr>
        <w:pStyle w:val="ListParagraph"/>
        <w:numPr>
          <w:ilvl w:val="1"/>
          <w:numId w:val="2"/>
        </w:numPr>
        <w:spacing w:after="60"/>
      </w:pPr>
      <w:r>
        <w:rPr>
          <w:rFonts w:ascii="Arial" w:cs="Arial" w:eastAsia="Arial" w:hAnsi="Arial"/>
          <w:sz w:val="20"/>
          <w:szCs w:val="20"/>
        </w:rPr>
        <w:t xml:space="preserve">Mark each note as must-clear or for information</w:t>
      </w:r>
    </w:p>
    <w:p>
      <w:pPr>
        <w:pStyle w:val="ListParagraph"/>
        <w:numPr>
          <w:ilvl w:val="1"/>
          <w:numId w:val="2"/>
        </w:numPr>
        <w:spacing w:after="60"/>
      </w:pPr>
      <w:r>
        <w:rPr>
          <w:rFonts w:ascii="Arial" w:cs="Arial" w:eastAsia="Arial" w:hAnsi="Arial"/>
          <w:sz w:val="20"/>
          <w:szCs w:val="20"/>
        </w:rPr>
        <w:t xml:space="preserve">Point to the exact workpaper or line</w:t>
      </w:r>
    </w:p>
    <w:p>
      <w:pPr>
        <w:pStyle w:val="ListParagraph"/>
        <w:numPr>
          <w:ilvl w:val="1"/>
          <w:numId w:val="2"/>
        </w:numPr>
        <w:spacing w:after="60"/>
      </w:pPr>
      <w:r>
        <w:rPr>
          <w:rFonts w:ascii="Arial" w:cs="Arial" w:eastAsia="Arial" w:hAnsi="Arial"/>
          <w:sz w:val="20"/>
          <w:szCs w:val="20"/>
        </w:rPr>
        <w:t xml:space="preserve">Say what evidence or change would clear it</w:t>
      </w:r>
    </w:p>
    <w:p>
      <w:pPr>
        <w:pStyle w:val="ListParagraph"/>
        <w:keepNext/>
        <w:numPr>
          <w:ilvl w:val="0"/>
          <w:numId w:val="3"/>
        </w:numPr>
        <w:spacing w:after="60" w:before="120"/>
      </w:pPr>
      <w:r>
        <w:rPr>
          <w:rFonts w:ascii="Arial" w:cs="Arial" w:eastAsia="Arial" w:hAnsi="Arial"/>
          <w:b/>
          <w:bCs/>
          <w:sz w:val="20"/>
          <w:szCs w:val="20"/>
        </w:rPr>
        <w:t xml:space="preserve">Clear the review notes</w:t>
      </w:r>
    </w:p>
    <w:p>
      <w:pPr>
        <w:spacing w:after="80"/>
        <w:ind w:left="360"/>
      </w:pPr>
      <w:r>
        <w:rPr>
          <w:rFonts w:ascii="Arial" w:cs="Arial" w:eastAsia="Arial" w:hAnsi="Arial"/>
          <w:sz w:val="20"/>
          <w:szCs w:val="20"/>
        </w:rPr>
        <w:t xml:space="preserve">The preparer answers or fixes each note and records what they did. The reviewer checks each answer before closing it.</w:t>
      </w:r>
    </w:p>
    <w:p>
      <w:pPr>
        <w:pBdr>
          <w:left w:val="single" w:color="191919" w:sz="18" w:space="6"/>
        </w:pBdr>
        <w:shd w:fill="F4F3EF" w:color="auto" w:val="clear"/>
        <w:spacing w:after="120"/>
        <w:ind w:left="360"/>
      </w:pPr>
      <w:r>
        <w:rPr>
          <w:rFonts w:ascii="Arial" w:cs="Arial" w:eastAsia="Arial" w:hAnsi="Arial"/>
          <w:b/>
          <w:bCs/>
          <w:sz w:val="20"/>
          <w:szCs w:val="20"/>
        </w:rPr>
        <w:t xml:space="preserve">Caution: </w:t>
      </w:r>
      <w:r>
        <w:rPr>
          <w:rFonts w:ascii="Arial" w:cs="Arial" w:eastAsia="Arial" w:hAnsi="Arial"/>
          <w:sz w:val="20"/>
          <w:szCs w:val="20"/>
        </w:rPr>
        <w:t xml:space="preserve">Never close a review note by deleting it. Keep the note and its answer as the record of the review.</w:t>
      </w:r>
    </w:p>
    <w:p>
      <w:pPr>
        <w:pStyle w:val="ListParagraph"/>
        <w:keepNext/>
        <w:numPr>
          <w:ilvl w:val="0"/>
          <w:numId w:val="3"/>
        </w:numPr>
        <w:spacing w:after="60" w:before="120"/>
      </w:pPr>
      <w:r>
        <w:rPr>
          <w:rFonts w:ascii="Arial" w:cs="Arial" w:eastAsia="Arial" w:hAnsi="Arial"/>
          <w:b/>
          <w:bCs/>
          <w:sz w:val="20"/>
          <w:szCs w:val="20"/>
        </w:rPr>
        <w:t xml:space="preserve">Second review for higher-risk jobs</w:t>
      </w:r>
    </w:p>
    <w:p>
      <w:pPr>
        <w:spacing w:after="80"/>
        <w:ind w:left="360"/>
      </w:pPr>
      <w:r>
        <w:rPr>
          <w:rFonts w:ascii="Arial" w:cs="Arial" w:eastAsia="Arial" w:hAnsi="Arial"/>
          <w:sz w:val="20"/>
          <w:szCs w:val="20"/>
        </w:rPr>
        <w:t xml:space="preserve">A partner reviews jobs your firm has set as higher-risk, such as new clients, complex tax positions or large movements, before sign-off.</w:t>
      </w:r>
    </w:p>
    <w:p>
      <w:pPr>
        <w:pStyle w:val="ListParagraph"/>
        <w:keepNext/>
        <w:numPr>
          <w:ilvl w:val="0"/>
          <w:numId w:val="3"/>
        </w:numPr>
        <w:spacing w:after="60" w:before="120"/>
      </w:pPr>
      <w:r>
        <w:rPr>
          <w:rFonts w:ascii="Arial" w:cs="Arial" w:eastAsia="Arial" w:hAnsi="Arial"/>
          <w:b/>
          <w:bCs/>
          <w:sz w:val="20"/>
          <w:szCs w:val="20"/>
        </w:rPr>
        <w:t xml:space="preserve">Sign off and release</w:t>
      </w:r>
    </w:p>
    <w:p>
      <w:pPr>
        <w:spacing w:after="80"/>
        <w:ind w:left="360"/>
      </w:pPr>
      <w:r>
        <w:rPr>
          <w:rFonts w:ascii="Arial" w:cs="Arial" w:eastAsia="Arial" w:hAnsi="Arial"/>
          <w:sz w:val="20"/>
          <w:szCs w:val="20"/>
        </w:rPr>
        <w:t xml:space="preserve">The reviewer and partner sign off in the file, and only then is the work sent to the client or lodged.</w:t>
      </w:r>
    </w:p>
    <w:p>
      <w:pPr>
        <w:pStyle w:val="ListParagraph"/>
        <w:numPr>
          <w:ilvl w:val="1"/>
          <w:numId w:val="2"/>
        </w:numPr>
        <w:spacing w:after="60"/>
      </w:pPr>
      <w:r>
        <w:rPr>
          <w:rFonts w:ascii="Arial" w:cs="Arial" w:eastAsia="Arial" w:hAnsi="Arial"/>
          <w:sz w:val="20"/>
          <w:szCs w:val="20"/>
        </w:rPr>
        <w:t xml:space="preserve">Every must-clear note is closed</w:t>
      </w:r>
    </w:p>
    <w:p>
      <w:pPr>
        <w:pStyle w:val="ListParagraph"/>
        <w:numPr>
          <w:ilvl w:val="1"/>
          <w:numId w:val="2"/>
        </w:numPr>
        <w:spacing w:after="60"/>
      </w:pPr>
      <w:r>
        <w:rPr>
          <w:rFonts w:ascii="Arial" w:cs="Arial" w:eastAsia="Arial" w:hAnsi="Arial"/>
          <w:sz w:val="20"/>
          <w:szCs w:val="20"/>
        </w:rPr>
        <w:t xml:space="preserve">The client’s approval or signature is requested</w:t>
      </w:r>
    </w:p>
    <w:p>
      <w:pPr>
        <w:pStyle w:val="ListParagraph"/>
        <w:numPr>
          <w:ilvl w:val="1"/>
          <w:numId w:val="2"/>
        </w:numPr>
        <w:spacing w:after="60"/>
      </w:pPr>
      <w:r>
        <w:rPr>
          <w:rFonts w:ascii="Arial" w:cs="Arial" w:eastAsia="Arial" w:hAnsi="Arial"/>
          <w:sz w:val="20"/>
          <w:szCs w:val="20"/>
        </w:rPr>
        <w:t xml:space="preserve">The delivery or lodgment date is recorded</w:t>
      </w:r>
    </w:p>
    <w:p>
      <w:pPr>
        <w:pStyle w:val="ListParagraph"/>
        <w:keepNext/>
        <w:numPr>
          <w:ilvl w:val="0"/>
          <w:numId w:val="3"/>
        </w:numPr>
        <w:spacing w:after="60" w:before="120"/>
      </w:pPr>
      <w:r>
        <w:rPr>
          <w:rFonts w:ascii="Arial" w:cs="Arial" w:eastAsia="Arial" w:hAnsi="Arial"/>
          <w:b/>
          <w:bCs/>
          <w:sz w:val="20"/>
          <w:szCs w:val="20"/>
        </w:rPr>
        <w:t xml:space="preserve">Record lessons</w:t>
      </w:r>
    </w:p>
    <w:p>
      <w:pPr>
        <w:spacing w:after="80"/>
        <w:ind w:left="360"/>
      </w:pPr>
      <w:r>
        <w:rPr>
          <w:rFonts w:ascii="Arial" w:cs="Arial" w:eastAsia="Arial" w:hAnsi="Arial"/>
          <w:sz w:val="20"/>
          <w:szCs w:val="20"/>
        </w:rPr>
        <w:t xml:space="preserve">Note repeated review points by preparer and job type, and use them in training and the next year’s plan.</w:t>
      </w:r>
    </w:p>
    <w:p>
      <w:pPr>
        <w:pStyle w:val="Heading1"/>
        <w:keepNext/>
        <w:keepLines/>
      </w:pPr>
      <w:r>
        <w:t xml:space="preserve">Records</w:t>
      </w:r>
    </w:p>
    <w:p>
      <w:pPr>
        <w:pStyle w:val="ListParagraph"/>
        <w:numPr>
          <w:ilvl w:val="0"/>
          <w:numId w:val="2"/>
        </w:numPr>
        <w:spacing w:after="60"/>
      </w:pPr>
      <w:r>
        <w:rPr>
          <w:rFonts w:ascii="Arial" w:cs="Arial" w:eastAsia="Arial" w:hAnsi="Arial"/>
          <w:sz w:val="20"/>
          <w:szCs w:val="20"/>
        </w:rPr>
        <w:t xml:space="preserve">The completed self-review checklist and review notes with their answers, kept on the job file for as long as your professional and tax rules require.</w:t>
      </w:r>
    </w:p>
    <w:p>
      <w:pPr>
        <w:pStyle w:val="ListParagraph"/>
        <w:numPr>
          <w:ilvl w:val="0"/>
          <w:numId w:val="2"/>
        </w:numPr>
        <w:spacing w:after="60"/>
      </w:pPr>
      <w:r>
        <w:rPr>
          <w:rFonts w:ascii="Arial" w:cs="Arial" w:eastAsia="Arial" w:hAnsi="Arial"/>
          <w:sz w:val="20"/>
          <w:szCs w:val="20"/>
        </w:rPr>
        <w:t xml:space="preserve">Sign-offs by the preparer, reviewer and partner, with dates.</w:t>
      </w:r>
    </w:p>
    <w:p>
      <w:pPr>
        <w:pStyle w:val="ListParagraph"/>
        <w:numPr>
          <w:ilvl w:val="0"/>
          <w:numId w:val="2"/>
        </w:numPr>
        <w:spacing w:after="60"/>
      </w:pPr>
      <w:r>
        <w:rPr>
          <w:rFonts w:ascii="Arial" w:cs="Arial" w:eastAsia="Arial" w:hAnsi="Arial"/>
          <w:sz w:val="20"/>
          <w:szCs w:val="20"/>
        </w:rPr>
        <w:t xml:space="preserve">The firm’s list of higher-risk jobs needing a second review.</w:t>
      </w:r>
    </w:p>
    <w:p>
      <w:pPr>
        <w:pStyle w:val="ListParagraph"/>
        <w:numPr>
          <w:ilvl w:val="0"/>
          <w:numId w:val="2"/>
        </w:numPr>
        <w:spacing w:after="60"/>
      </w:pPr>
      <w:r>
        <w:rPr>
          <w:rFonts w:ascii="Arial" w:cs="Arial" w:eastAsia="Arial" w:hAnsi="Arial"/>
          <w:sz w:val="20"/>
          <w:szCs w:val="20"/>
        </w:rPr>
        <w:t xml:space="preserve">Quality control reviews of a sample of completed jobs.</w:t>
      </w:r>
    </w:p>
    <w:p>
      <w:pPr>
        <w:pStyle w:val="Heading1"/>
        <w:keepNext/>
        <w:keepLines/>
      </w:pPr>
      <w:r>
        <w:t xml:space="preserve">Related documents</w:t>
      </w:r>
    </w:p>
    <w:p>
      <w:pPr>
        <w:pStyle w:val="ListParagraph"/>
        <w:numPr>
          <w:ilvl w:val="0"/>
          <w:numId w:val="2"/>
        </w:numPr>
        <w:spacing w:after="60"/>
      </w:pPr>
      <w:r>
        <w:rPr>
          <w:rFonts w:ascii="Arial" w:cs="Arial" w:eastAsia="Arial" w:hAnsi="Arial"/>
          <w:sz w:val="20"/>
          <w:szCs w:val="20"/>
        </w:rPr>
        <w:t xml:space="preserve">Firm quality management policy</w:t>
      </w:r>
    </w:p>
    <w:p>
      <w:pPr>
        <w:pStyle w:val="ListParagraph"/>
        <w:numPr>
          <w:ilvl w:val="0"/>
          <w:numId w:val="2"/>
        </w:numPr>
        <w:spacing w:after="60"/>
      </w:pPr>
      <w:r>
        <w:rPr>
          <w:rFonts w:ascii="Arial" w:cs="Arial" w:eastAsia="Arial" w:hAnsi="Arial"/>
          <w:sz w:val="20"/>
          <w:szCs w:val="20"/>
        </w:rPr>
        <w:t xml:space="preserve">Preparer self-review checklist</w:t>
      </w:r>
    </w:p>
    <w:p>
      <w:pPr>
        <w:pStyle w:val="ListParagraph"/>
        <w:numPr>
          <w:ilvl w:val="0"/>
          <w:numId w:val="2"/>
        </w:numPr>
        <w:spacing w:after="60"/>
      </w:pPr>
      <w:r>
        <w:rPr>
          <w:rFonts w:ascii="Arial" w:cs="Arial" w:eastAsia="Arial" w:hAnsi="Arial"/>
          <w:sz w:val="20"/>
          <w:szCs w:val="20"/>
        </w:rPr>
        <w:t xml:space="preserve">Accounting client onboarding checklist</w:t>
      </w:r>
    </w:p>
    <w:p>
      <w:pPr>
        <w:pStyle w:val="ListParagraph"/>
        <w:numPr>
          <w:ilvl w:val="0"/>
          <w:numId w:val="2"/>
        </w:numPr>
        <w:spacing w:after="60"/>
      </w:pPr>
      <w:r>
        <w:rPr>
          <w:rFonts w:ascii="Arial" w:cs="Arial" w:eastAsia="Arial" w:hAnsi="Arial"/>
          <w:sz w:val="20"/>
          <w:szCs w:val="20"/>
        </w:rPr>
        <w:t xml:space="preserve">Month-end close checklist</w:t>
      </w:r>
    </w:p>
    <w:p>
      <w:pPr>
        <w:pStyle w:val="Heading1"/>
        <w:keepNext/>
        <w:keepLines/>
      </w:pPr>
      <w:r>
        <w:t xml:space="preserve">Revision history</w:t>
      </w:r>
    </w:p>
    <w:tbl>
      <w:tblPr>
        <w:tblW w:type="pct" w:w="5000"/>
        <w:tblBorders>
          <w:top w:val="single" w:color="D6D5D0" w:sz="4"/>
          <w:left w:val="single" w:color="D6D5D0" w:sz="4"/>
          <w:bottom w:val="single" w:color="D6D5D0" w:sz="4"/>
          <w:right w:val="single" w:color="D6D5D0" w:sz="4"/>
          <w:insideH w:val="single" w:color="D6D5D0" w:sz="4"/>
          <w:insideV w:val="single" w:color="D6D5D0" w:sz="4"/>
        </w:tblBorders>
        <w:tblLayout w:type="fixed"/>
      </w:tblPr>
      <w:tblGrid>
        <w:gridCol w:w="2520"/>
        <w:gridCol w:w="2520"/>
        <w:gridCol w:w="2520"/>
        <w:gridCol w:w="2520"/>
      </w:tblGrid>
      <w:tr>
        <w:trPr>
          <w:tblHeader/>
        </w:trPr>
        <w:tc>
          <w:tcPr>
            <w:tcW w:type="dxa" w:w="2520"/>
            <w:shd w:fill="F4F3EF" w:color="auto" w:val="clear"/>
            <w:tcMar>
              <w:top w:type="dxa" w:w="60"/>
              <w:left w:type="dxa" w:w="100"/>
              <w:bottom w:type="dxa" w:w="60"/>
              <w:right w:type="dxa" w:w="100"/>
            </w:tcMar>
          </w:tcPr>
          <w:p>
            <w:r>
              <w:rPr>
                <w:rFonts w:ascii="Arial" w:cs="Arial" w:eastAsia="Arial" w:hAnsi="Arial"/>
                <w:b/>
                <w:bCs/>
                <w:color w:val="6E7176"/>
                <w:sz w:val="18"/>
                <w:szCs w:val="18"/>
              </w:rPr>
              <w:t xml:space="preserve">Version</w:t>
            </w:r>
          </w:p>
        </w:tc>
        <w:tc>
          <w:tcPr>
            <w:tcW w:type="dxa" w:w="2520"/>
            <w:shd w:fill="F4F3EF" w:color="auto" w:val="clear"/>
            <w:tcMar>
              <w:top w:type="dxa" w:w="60"/>
              <w:left w:type="dxa" w:w="100"/>
              <w:bottom w:type="dxa" w:w="60"/>
              <w:right w:type="dxa" w:w="100"/>
            </w:tcMar>
          </w:tcPr>
          <w:p>
            <w:r>
              <w:rPr>
                <w:rFonts w:ascii="Arial" w:cs="Arial" w:eastAsia="Arial" w:hAnsi="Arial"/>
                <w:b/>
                <w:bCs/>
                <w:color w:val="6E7176"/>
                <w:sz w:val="18"/>
                <w:szCs w:val="18"/>
              </w:rPr>
              <w:t xml:space="preserve">Date</w:t>
            </w:r>
          </w:p>
        </w:tc>
        <w:tc>
          <w:tcPr>
            <w:tcW w:type="dxa" w:w="2520"/>
            <w:shd w:fill="F4F3EF" w:color="auto" w:val="clear"/>
            <w:tcMar>
              <w:top w:type="dxa" w:w="60"/>
              <w:left w:type="dxa" w:w="100"/>
              <w:bottom w:type="dxa" w:w="60"/>
              <w:right w:type="dxa" w:w="100"/>
            </w:tcMar>
          </w:tcPr>
          <w:p>
            <w:r>
              <w:rPr>
                <w:rFonts w:ascii="Arial" w:cs="Arial" w:eastAsia="Arial" w:hAnsi="Arial"/>
                <w:b/>
                <w:bCs/>
                <w:color w:val="6E7176"/>
                <w:sz w:val="18"/>
                <w:szCs w:val="18"/>
              </w:rPr>
              <w:t xml:space="preserve">What changed</w:t>
            </w:r>
          </w:p>
        </w:tc>
        <w:tc>
          <w:tcPr>
            <w:tcW w:type="dxa" w:w="2520"/>
            <w:shd w:fill="F4F3EF" w:color="auto" w:val="clear"/>
            <w:tcMar>
              <w:top w:type="dxa" w:w="60"/>
              <w:left w:type="dxa" w:w="100"/>
              <w:bottom w:type="dxa" w:w="60"/>
              <w:right w:type="dxa" w:w="100"/>
            </w:tcMar>
          </w:tcPr>
          <w:p>
            <w:r>
              <w:rPr>
                <w:rFonts w:ascii="Arial" w:cs="Arial" w:eastAsia="Arial" w:hAnsi="Arial"/>
                <w:b/>
                <w:bCs/>
                <w:color w:val="6E7176"/>
                <w:sz w:val="18"/>
                <w:szCs w:val="18"/>
              </w:rPr>
              <w:t xml:space="preserve">Approved by</w:t>
            </w:r>
          </w:p>
        </w:tc>
      </w:tr>
      <w:tr>
        <w:trPr>
          <w:cantSplit/>
          <w:trHeight w:val="400" w:hRule="atLeast"/>
        </w:trPr>
        <w:tc>
          <w:tcPr>
            <w:tcW w:type="dxa" w:w="2520"/>
            <w:tcMar>
              <w:top w:type="dxa" w:w="60"/>
              <w:left w:type="dxa" w:w="100"/>
              <w:bottom w:type="dxa" w:w="60"/>
              <w:right w:type="dxa" w:w="100"/>
            </w:tcMar>
          </w:tcPr>
          <w:p>
            <w:r>
              <w:rPr>
                <w:rFonts w:ascii="Arial" w:cs="Arial" w:eastAsia="Arial" w:hAnsi="Arial"/>
              </w:rPr>
              <w:t xml:space="preserve"/>
            </w:r>
          </w:p>
        </w:tc>
        <w:tc>
          <w:tcPr>
            <w:tcW w:type="dxa" w:w="2520"/>
            <w:tcMar>
              <w:top w:type="dxa" w:w="60"/>
              <w:left w:type="dxa" w:w="100"/>
              <w:bottom w:type="dxa" w:w="60"/>
              <w:right w:type="dxa" w:w="100"/>
            </w:tcMar>
          </w:tcPr>
          <w:p>
            <w:r>
              <w:rPr>
                <w:rFonts w:ascii="Arial" w:cs="Arial" w:eastAsia="Arial" w:hAnsi="Arial"/>
              </w:rPr>
              <w:t xml:space="preserve"/>
            </w:r>
          </w:p>
        </w:tc>
        <w:tc>
          <w:tcPr>
            <w:tcW w:type="dxa" w:w="2520"/>
            <w:tcMar>
              <w:top w:type="dxa" w:w="60"/>
              <w:left w:type="dxa" w:w="100"/>
              <w:bottom w:type="dxa" w:w="60"/>
              <w:right w:type="dxa" w:w="100"/>
            </w:tcMar>
          </w:tcPr>
          <w:p>
            <w:r>
              <w:rPr>
                <w:rFonts w:ascii="Arial" w:cs="Arial" w:eastAsia="Arial" w:hAnsi="Arial"/>
              </w:rPr>
              <w:t xml:space="preserve"/>
            </w:r>
          </w:p>
        </w:tc>
        <w:tc>
          <w:tcPr>
            <w:tcW w:type="dxa" w:w="2520"/>
            <w:tcMar>
              <w:top w:type="dxa" w:w="60"/>
              <w:left w:type="dxa" w:w="100"/>
              <w:bottom w:type="dxa" w:w="60"/>
              <w:right w:type="dxa" w:w="100"/>
            </w:tcMar>
          </w:tcPr>
          <w:p>
            <w:r>
              <w:rPr>
                <w:rFonts w:ascii="Arial" w:cs="Arial" w:eastAsia="Arial" w:hAnsi="Arial"/>
              </w:rPr>
              <w:t xml:space="preserve"/>
            </w:r>
          </w:p>
        </w:tc>
      </w:tr>
      <w:tr>
        <w:trPr>
          <w:cantSplit/>
          <w:trHeight w:val="400" w:hRule="atLeast"/>
        </w:trPr>
        <w:tc>
          <w:tcPr>
            <w:tcW w:type="dxa" w:w="2520"/>
            <w:tcMar>
              <w:top w:type="dxa" w:w="60"/>
              <w:left w:type="dxa" w:w="100"/>
              <w:bottom w:type="dxa" w:w="60"/>
              <w:right w:type="dxa" w:w="100"/>
            </w:tcMar>
          </w:tcPr>
          <w:p>
            <w:r>
              <w:rPr>
                <w:rFonts w:ascii="Arial" w:cs="Arial" w:eastAsia="Arial" w:hAnsi="Arial"/>
              </w:rPr>
              <w:t xml:space="preserve"/>
            </w:r>
          </w:p>
        </w:tc>
        <w:tc>
          <w:tcPr>
            <w:tcW w:type="dxa" w:w="2520"/>
            <w:tcMar>
              <w:top w:type="dxa" w:w="60"/>
              <w:left w:type="dxa" w:w="100"/>
              <w:bottom w:type="dxa" w:w="60"/>
              <w:right w:type="dxa" w:w="100"/>
            </w:tcMar>
          </w:tcPr>
          <w:p>
            <w:r>
              <w:rPr>
                <w:rFonts w:ascii="Arial" w:cs="Arial" w:eastAsia="Arial" w:hAnsi="Arial"/>
              </w:rPr>
              <w:t xml:space="preserve"/>
            </w:r>
          </w:p>
        </w:tc>
        <w:tc>
          <w:tcPr>
            <w:tcW w:type="dxa" w:w="2520"/>
            <w:tcMar>
              <w:top w:type="dxa" w:w="60"/>
              <w:left w:type="dxa" w:w="100"/>
              <w:bottom w:type="dxa" w:w="60"/>
              <w:right w:type="dxa" w:w="100"/>
            </w:tcMar>
          </w:tcPr>
          <w:p>
            <w:r>
              <w:rPr>
                <w:rFonts w:ascii="Arial" w:cs="Arial" w:eastAsia="Arial" w:hAnsi="Arial"/>
              </w:rPr>
              <w:t xml:space="preserve"/>
            </w:r>
          </w:p>
        </w:tc>
        <w:tc>
          <w:tcPr>
            <w:tcW w:type="dxa" w:w="2520"/>
            <w:tcMar>
              <w:top w:type="dxa" w:w="60"/>
              <w:left w:type="dxa" w:w="100"/>
              <w:bottom w:type="dxa" w:w="60"/>
              <w:right w:type="dxa" w:w="100"/>
            </w:tcMar>
          </w:tcPr>
          <w:p>
            <w:r>
              <w:rPr>
                <w:rFonts w:ascii="Arial" w:cs="Arial" w:eastAsia="Arial" w:hAnsi="Arial"/>
              </w:rPr>
              <w:t xml:space="preserve"/>
            </w:r>
          </w:p>
        </w:tc>
      </w:tr>
      <w:tr>
        <w:trPr>
          <w:cantSplit/>
          <w:trHeight w:val="400" w:hRule="atLeast"/>
        </w:trPr>
        <w:tc>
          <w:tcPr>
            <w:tcW w:type="dxa" w:w="2520"/>
            <w:tcMar>
              <w:top w:type="dxa" w:w="60"/>
              <w:left w:type="dxa" w:w="100"/>
              <w:bottom w:type="dxa" w:w="60"/>
              <w:right w:type="dxa" w:w="100"/>
            </w:tcMar>
          </w:tcPr>
          <w:p>
            <w:r>
              <w:rPr>
                <w:rFonts w:ascii="Arial" w:cs="Arial" w:eastAsia="Arial" w:hAnsi="Arial"/>
              </w:rPr>
              <w:t xml:space="preserve"/>
            </w:r>
          </w:p>
        </w:tc>
        <w:tc>
          <w:tcPr>
            <w:tcW w:type="dxa" w:w="2520"/>
            <w:tcMar>
              <w:top w:type="dxa" w:w="60"/>
              <w:left w:type="dxa" w:w="100"/>
              <w:bottom w:type="dxa" w:w="60"/>
              <w:right w:type="dxa" w:w="100"/>
            </w:tcMar>
          </w:tcPr>
          <w:p>
            <w:r>
              <w:rPr>
                <w:rFonts w:ascii="Arial" w:cs="Arial" w:eastAsia="Arial" w:hAnsi="Arial"/>
              </w:rPr>
              <w:t xml:space="preserve"/>
            </w:r>
          </w:p>
        </w:tc>
        <w:tc>
          <w:tcPr>
            <w:tcW w:type="dxa" w:w="2520"/>
            <w:tcMar>
              <w:top w:type="dxa" w:w="60"/>
              <w:left w:type="dxa" w:w="100"/>
              <w:bottom w:type="dxa" w:w="60"/>
              <w:right w:type="dxa" w:w="100"/>
            </w:tcMar>
          </w:tcPr>
          <w:p>
            <w:r>
              <w:rPr>
                <w:rFonts w:ascii="Arial" w:cs="Arial" w:eastAsia="Arial" w:hAnsi="Arial"/>
              </w:rPr>
              <w:t xml:space="preserve"/>
            </w:r>
          </w:p>
        </w:tc>
        <w:tc>
          <w:tcPr>
            <w:tcW w:type="dxa" w:w="2520"/>
            <w:tcMar>
              <w:top w:type="dxa" w:w="60"/>
              <w:left w:type="dxa" w:w="100"/>
              <w:bottom w:type="dxa" w:w="60"/>
              <w:right w:type="dxa" w:w="100"/>
            </w:tcMar>
          </w:tcPr>
          <w:p>
            <w:r>
              <w:rPr>
                <w:rFonts w:ascii="Arial" w:cs="Arial" w:eastAsia="Arial" w:hAnsi="Arial"/>
              </w:rPr>
              <w:t xml:space="preserve"/>
            </w:r>
          </w:p>
        </w:tc>
      </w:tr>
    </w:tbl>
    <w:sectPr>
      <w:footerReference w:type="default" r:id="rId6"/>
      <w:pgSz w:w="12240" w:h="15840" w:orient="portrait"/>
      <w:pgMar w:top="1080" w:right="1080" w:bottom="1080" w:left="1080" w:header="708"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rPr>
        <w:rFonts w:ascii="Arial" w:cs="Arial" w:eastAsia="Arial" w:hAnsi="Arial"/>
        <w:color w:val="6E7176"/>
        <w:sz w:val="15"/>
        <w:szCs w:val="15"/>
      </w:rPr>
      <w:t xml:space="preserve">Template by Wikidoc · www.wikidoc.ai/templates/accounting/workpaper-review-procedure · Free to use, don’t resell · Page </w:t>
    </w:r>
    <w:r>
      <w:rPr>
        <w:rFonts w:ascii="Arial" w:cs="Arial" w:eastAsia="Arial" w:hAnsi="Arial"/>
        <w:color w:val="6E7176"/>
        <w:sz w:val="15"/>
        <w:szCs w:val="15"/>
      </w:rPr>
      <w:fldChar w:fldCharType="begin"/>
      <w:instrText xml:space="preserve">PAGE</w:instrText>
      <w:fldChar w:fldCharType="separate"/>
      <w:fldChar w:fldCharType="end"/>
    </w:r>
    <w:r>
      <w:rPr>
        <w:rFonts w:ascii="Arial" w:cs="Arial" w:eastAsia="Arial" w:hAnsi="Arial"/>
        <w:color w:val="6E7176"/>
        <w:sz w:val="15"/>
        <w:szCs w:val="15"/>
      </w:rPr>
      <w:t xml:space="preserve"> of </w:t>
    </w:r>
    <w:r>
      <w:rPr>
        <w:rFonts w:ascii="Arial" w:cs="Arial" w:eastAsia="Arial" w:hAnsi="Arial"/>
        <w:color w:val="6E7176"/>
        <w:sz w:val="15"/>
        <w:szCs w:val="15"/>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360" w:hanging="360"/>
      </w:pPr>
    </w:lvl>
  </w:abstractNum>
  <w:abstractNum w:abstractNumId="3" w15:restartNumberingAfterBreak="0">
    <w:multiLevelType w:val="hybridMultilevel"/>
    <w:lvl w:ilvl="0" w:tentative="1">
      <w:start w:val="1"/>
      <w:numFmt w:val="bullet"/>
      <w:lvlText w:val="•"/>
      <w:lvlJc w:val="left"/>
      <w:pPr>
        <w:ind w:left="360" w:hanging="240"/>
      </w:pPr>
    </w:lvl>
    <w:lvl w:ilvl="1" w:tentative="1">
      <w:start w:val="1"/>
      <w:numFmt w:val="bullet"/>
      <w:lvlText w:val="–"/>
      <w:lvlJc w:val="left"/>
      <w:pPr>
        <w:ind w:left="720" w:hanging="240"/>
      </w:pPr>
    </w:lvl>
  </w:abstractNum>
  <w:num w:numId="1">
    <w:abstractNumId w:val="1"/>
    <w:lvlOverride w:ilvl="0">
      <w:startOverride w:val="1"/>
    </w:lvlOverride>
  </w:num>
  <w:num w:numId="2">
    <w:abstractNumId w:val="3"/>
    <w:lvlOverride w:ilvl="0">
      <w:startOverride w:val="1"/>
    </w:lvlOverride>
  </w:num>
  <w:num w:numId="3">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91919"/>
        <w:sz w:val="20"/>
        <w:szCs w:val="20"/>
      </w:rPr>
    </w:rPrDefault>
    <w:pPrDefault>
      <w:pPr>
        <w:spacing w:line="276"/>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pPr>
      <w:spacing w:after="200"/>
    </w:pPr>
    <w:rPr>
      <w:rFonts w:ascii="Arial" w:cs="Arial" w:eastAsia="Arial" w:hAnsi="Arial"/>
      <w:b w:val="false"/>
      <w:bCs w:val="false"/>
      <w:color w:val="191919"/>
      <w:sz w:val="36"/>
      <w:szCs w:val="36"/>
    </w:rPr>
  </w:style>
  <w:style w:type="paragraph" w:styleId="Heading1">
    <w:name w:val="Heading 1"/>
    <w:basedOn w:val="Normal"/>
    <w:next w:val="Normal"/>
    <w:qFormat/>
    <w:pPr>
      <w:spacing w:after="100" w:before="280"/>
    </w:pPr>
    <w:rPr>
      <w:rFonts w:ascii="Arial" w:cs="Arial" w:eastAsia="Arial" w:hAnsi="Arial"/>
      <w:b/>
      <w:bCs/>
      <w:color w:val="191919"/>
      <w:sz w:val="26"/>
      <w:szCs w:val="26"/>
    </w:rPr>
  </w:style>
  <w:style w:type="paragraph" w:styleId="Heading2">
    <w:name w:val="Heading 2"/>
    <w:basedOn w:val="Normal"/>
    <w:next w:val="Normal"/>
    <w:qFormat/>
    <w:pPr>
      <w:spacing w:after="80" w:before="200"/>
    </w:pPr>
    <w:rPr>
      <w:rFonts w:ascii="Arial" w:cs="Arial" w:eastAsia="Arial" w:hAnsi="Arial"/>
      <w:b/>
      <w:bCs/>
      <w:color w:val="191919"/>
      <w:sz w:val="22"/>
      <w:szCs w:val="22"/>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Workpaper review procedure</dc:title>
  <dc:creator>Wikidoc</dc:creator>
  <dc:description>A free workpaper review procedure for accounting firms: preparer checks, the first and second review, review notes, clearing points, sign-off and records. PDF.</dc:description>
  <cp:lastModifiedBy>Un-named</cp:lastModifiedBy>
  <cp:revision>1</cp:revision>
  <dcterms:created xsi:type="dcterms:W3CDTF">2026-10-08T23:04:37.137Z</dcterms:created>
  <dcterms:modified xsi:type="dcterms:W3CDTF">2026-10-08T23:04:37.137Z</dcterms:modified>
</cp:coreProperties>
</file>

<file path=docProps/custom.xml><?xml version="1.0" encoding="utf-8"?>
<Properties xmlns="http://schemas.openxmlformats.org/officeDocument/2006/custom-properties" xmlns:vt="http://schemas.openxmlformats.org/officeDocument/2006/docPropsVTypes"/>
</file>